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FBBC" w14:textId="18A0D0C7" w:rsidR="00042E1E" w:rsidRPr="001D2333" w:rsidRDefault="00042E1E" w:rsidP="00042E1E">
      <w:pPr>
        <w:spacing w:after="0"/>
        <w:ind w:firstLine="709"/>
        <w:jc w:val="both"/>
        <w:rPr>
          <w:rFonts w:ascii="Times New Roman" w:hAnsi="Times New Roman" w:cs="Times New Roman"/>
          <w:color w:val="FF0000"/>
          <w:sz w:val="44"/>
          <w:szCs w:val="44"/>
          <w:lang w:val="kk-KZ"/>
        </w:rPr>
      </w:pPr>
      <w:r>
        <w:rPr>
          <w:rFonts w:ascii="Times New Roman" w:hAnsi="Times New Roman" w:cs="Times New Roman"/>
          <w:color w:val="FF0000"/>
          <w:sz w:val="36"/>
          <w:szCs w:val="36"/>
          <w:highlight w:val="yellow"/>
          <w:lang w:val="kk-KZ" w:eastAsia="ko-KR"/>
        </w:rPr>
        <w:t>Практикалық сабақ ПС</w:t>
      </w:r>
      <w:r>
        <w:rPr>
          <w:rFonts w:ascii="Times New Roman" w:hAnsi="Times New Roman" w:cs="Times New Roman"/>
          <w:color w:val="FF0000"/>
          <w:sz w:val="36"/>
          <w:szCs w:val="36"/>
          <w:lang w:val="kk-KZ" w:eastAsia="ko-KR"/>
        </w:rPr>
        <w:t>-13</w:t>
      </w:r>
      <w:bookmarkStart w:id="0" w:name="_Hlk122202027"/>
      <w:r w:rsidR="001D2333" w:rsidRPr="001D2333">
        <w:rPr>
          <w:color w:val="FF0000"/>
          <w:sz w:val="20"/>
          <w:szCs w:val="20"/>
          <w:lang w:val="kk-KZ"/>
        </w:rPr>
        <w:t xml:space="preserve"> </w:t>
      </w:r>
      <w:r w:rsidR="001D2333" w:rsidRPr="001D2333">
        <w:rPr>
          <w:rFonts w:ascii="Times New Roman" w:hAnsi="Times New Roman" w:cs="Times New Roman"/>
          <w:color w:val="FF0000"/>
          <w:sz w:val="44"/>
          <w:szCs w:val="44"/>
          <w:highlight w:val="green"/>
          <w:lang w:val="kk-KZ"/>
        </w:rPr>
        <w:t>Кәсіпорындардың банкротқа ұшырауы мүмкіндігін болжау әдістері</w:t>
      </w:r>
      <w:bookmarkEnd w:id="0"/>
    </w:p>
    <w:p w14:paraId="79DD50EE" w14:textId="77777777" w:rsidR="00042E1E" w:rsidRPr="001D2333" w:rsidRDefault="00042E1E" w:rsidP="00042E1E">
      <w:pPr>
        <w:rPr>
          <w:rFonts w:ascii="Times New Roman" w:hAnsi="Times New Roman" w:cs="Times New Roman"/>
          <w:color w:val="FF0000"/>
          <w:sz w:val="44"/>
          <w:szCs w:val="44"/>
          <w:lang w:val="kk-KZ"/>
        </w:rPr>
      </w:pPr>
    </w:p>
    <w:p w14:paraId="3A76C18F" w14:textId="60AE9E6F" w:rsidR="00042E1E" w:rsidRPr="001D2333" w:rsidRDefault="00042E1E" w:rsidP="00042E1E">
      <w:pPr>
        <w:tabs>
          <w:tab w:val="left" w:pos="0"/>
        </w:tabs>
        <w:rPr>
          <w:rFonts w:ascii="Times New Roman" w:hAnsi="Times New Roman" w:cs="Times New Roman"/>
          <w:color w:val="FF0000"/>
          <w:sz w:val="44"/>
          <w:szCs w:val="44"/>
          <w:lang w:val="kk-KZ"/>
        </w:rPr>
      </w:pPr>
      <w:r w:rsidRPr="001D2333">
        <w:rPr>
          <w:rFonts w:ascii="Times New Roman" w:hAnsi="Times New Roman" w:cs="Times New Roman"/>
          <w:color w:val="FF0000"/>
          <w:sz w:val="44"/>
          <w:szCs w:val="44"/>
        </w:rPr>
        <w:tab/>
      </w:r>
      <w:r w:rsidRPr="001D2333">
        <w:rPr>
          <w:rFonts w:ascii="Times New Roman" w:hAnsi="Times New Roman" w:cs="Times New Roman"/>
          <w:color w:val="FF0000"/>
          <w:sz w:val="44"/>
          <w:szCs w:val="44"/>
          <w:highlight w:val="green"/>
          <w:lang w:val="kk-KZ"/>
        </w:rPr>
        <w:t>Сабақтың  мақсаты</w:t>
      </w:r>
      <w:r w:rsidRPr="001D2333">
        <w:rPr>
          <w:rFonts w:ascii="Times New Roman" w:hAnsi="Times New Roman" w:cs="Times New Roman"/>
          <w:color w:val="FF0000"/>
          <w:sz w:val="44"/>
          <w:szCs w:val="44"/>
          <w:lang w:val="kk-KZ"/>
        </w:rPr>
        <w:t xml:space="preserve"> – студенттерге</w:t>
      </w:r>
      <w:r w:rsidR="001D2333" w:rsidRPr="001D2333">
        <w:rPr>
          <w:rFonts w:ascii="Times New Roman" w:hAnsi="Times New Roman" w:cs="Times New Roman"/>
          <w:color w:val="FF0000"/>
          <w:sz w:val="44"/>
          <w:szCs w:val="44"/>
          <w:lang w:val="kk-KZ"/>
        </w:rPr>
        <w:t xml:space="preserve"> </w:t>
      </w:r>
      <w:r w:rsidR="001D2333">
        <w:rPr>
          <w:rFonts w:ascii="Times New Roman" w:hAnsi="Times New Roman" w:cs="Times New Roman"/>
          <w:color w:val="FF0000"/>
          <w:sz w:val="44"/>
          <w:szCs w:val="44"/>
          <w:lang w:val="kk-KZ"/>
        </w:rPr>
        <w:t>к</w:t>
      </w:r>
      <w:r w:rsidR="001D2333" w:rsidRPr="001D2333">
        <w:rPr>
          <w:rFonts w:ascii="Times New Roman" w:hAnsi="Times New Roman" w:cs="Times New Roman"/>
          <w:color w:val="FF0000"/>
          <w:sz w:val="44"/>
          <w:szCs w:val="44"/>
          <w:lang w:val="kk-KZ"/>
        </w:rPr>
        <w:t>әсіпорындардың банкротқа ұшырауы мүмкіндігін болжау әдістері</w:t>
      </w:r>
    </w:p>
    <w:p w14:paraId="78EC519A" w14:textId="77777777" w:rsidR="00042E1E" w:rsidRPr="001D2333" w:rsidRDefault="00042E1E" w:rsidP="00042E1E">
      <w:pPr>
        <w:tabs>
          <w:tab w:val="left" w:pos="0"/>
        </w:tabs>
        <w:rPr>
          <w:rFonts w:ascii="Times New Roman" w:hAnsi="Times New Roman" w:cs="Times New Roman"/>
          <w:color w:val="FF0000"/>
          <w:sz w:val="44"/>
          <w:szCs w:val="44"/>
          <w:lang w:val="kk-KZ"/>
        </w:rPr>
      </w:pPr>
      <w:r w:rsidRPr="001D2333">
        <w:rPr>
          <w:rFonts w:ascii="Times New Roman" w:hAnsi="Times New Roman" w:cs="Times New Roman"/>
          <w:color w:val="FF0000"/>
          <w:sz w:val="44"/>
          <w:szCs w:val="44"/>
          <w:lang w:val="kk-KZ"/>
        </w:rPr>
        <w:t xml:space="preserve"> жан-жақты кешенді түсіндіру</w:t>
      </w:r>
    </w:p>
    <w:p w14:paraId="1D038C2A" w14:textId="77777777" w:rsidR="00042E1E" w:rsidRPr="001D2333" w:rsidRDefault="00042E1E" w:rsidP="00042E1E">
      <w:pPr>
        <w:tabs>
          <w:tab w:val="left" w:pos="1380"/>
        </w:tabs>
        <w:rPr>
          <w:rFonts w:ascii="Times New Roman" w:hAnsi="Times New Roman" w:cs="Times New Roman"/>
          <w:color w:val="FF0000"/>
          <w:sz w:val="44"/>
          <w:szCs w:val="44"/>
          <w:lang w:val="kk-KZ"/>
        </w:rPr>
      </w:pPr>
      <w:r w:rsidRPr="001D2333">
        <w:rPr>
          <w:rFonts w:ascii="Times New Roman" w:hAnsi="Times New Roman" w:cs="Times New Roman"/>
          <w:color w:val="FF0000"/>
          <w:sz w:val="44"/>
          <w:szCs w:val="44"/>
          <w:lang w:val="kk-KZ"/>
        </w:rPr>
        <w:t>Сұрақтар:</w:t>
      </w:r>
    </w:p>
    <w:p w14:paraId="2C24ED9E" w14:textId="310B5E14" w:rsidR="00042E1E" w:rsidRPr="001D2333" w:rsidRDefault="00042E1E" w:rsidP="00042E1E">
      <w:pPr>
        <w:rPr>
          <w:rFonts w:ascii="Times New Roman" w:hAnsi="Times New Roman" w:cs="Times New Roman"/>
          <w:color w:val="FF0000"/>
          <w:sz w:val="44"/>
          <w:szCs w:val="44"/>
          <w:highlight w:val="yellow"/>
          <w:lang w:val="kk-KZ"/>
        </w:rPr>
      </w:pPr>
      <w:r w:rsidRPr="001D2333">
        <w:rPr>
          <w:rFonts w:ascii="Times New Roman" w:hAnsi="Times New Roman" w:cs="Times New Roman"/>
          <w:color w:val="FF0000"/>
          <w:sz w:val="44"/>
          <w:szCs w:val="44"/>
          <w:lang w:val="kk-KZ"/>
        </w:rPr>
        <w:t>1.</w:t>
      </w:r>
      <w:r w:rsidR="001D2333" w:rsidRPr="001D2333">
        <w:rPr>
          <w:rFonts w:ascii="Times New Roman" w:hAnsi="Times New Roman" w:cs="Times New Roman"/>
          <w:color w:val="FF0000"/>
          <w:sz w:val="44"/>
          <w:szCs w:val="44"/>
          <w:lang w:val="kk-KZ"/>
        </w:rPr>
        <w:t xml:space="preserve"> </w:t>
      </w:r>
      <w:r w:rsidR="001D2333" w:rsidRPr="001D2333">
        <w:rPr>
          <w:rFonts w:ascii="Times New Roman" w:hAnsi="Times New Roman" w:cs="Times New Roman"/>
          <w:color w:val="FF0000"/>
          <w:sz w:val="44"/>
          <w:szCs w:val="44"/>
          <w:highlight w:val="yellow"/>
          <w:lang w:val="kk-KZ"/>
        </w:rPr>
        <w:t>Кәсіпорындардың банкротқа ұшырауы мүмкіндігін болжау әдістері</w:t>
      </w:r>
    </w:p>
    <w:p w14:paraId="5623FC2B" w14:textId="67472E66" w:rsidR="001D2333" w:rsidRPr="001D2333" w:rsidRDefault="00042E1E" w:rsidP="001D2333">
      <w:pPr>
        <w:rPr>
          <w:rFonts w:ascii="Times New Roman" w:hAnsi="Times New Roman" w:cs="Times New Roman"/>
          <w:color w:val="FF0000"/>
          <w:sz w:val="44"/>
          <w:szCs w:val="44"/>
          <w:lang w:val="kk-KZ"/>
        </w:rPr>
      </w:pPr>
      <w:r w:rsidRPr="001D2333">
        <w:rPr>
          <w:rFonts w:ascii="Times New Roman" w:hAnsi="Times New Roman" w:cs="Times New Roman"/>
          <w:color w:val="FF0000"/>
          <w:sz w:val="44"/>
          <w:szCs w:val="44"/>
          <w:highlight w:val="yellow"/>
          <w:lang w:val="kk-KZ"/>
        </w:rPr>
        <w:t>2.</w:t>
      </w:r>
      <w:r w:rsidR="001D2333" w:rsidRPr="001D2333">
        <w:rPr>
          <w:rFonts w:ascii="Times New Roman" w:hAnsi="Times New Roman" w:cs="Times New Roman"/>
          <w:color w:val="FF0000"/>
          <w:sz w:val="44"/>
          <w:szCs w:val="44"/>
          <w:highlight w:val="yellow"/>
          <w:lang w:val="kk-KZ"/>
        </w:rPr>
        <w:t xml:space="preserve"> Банкротты  болжаудың  әдістері</w:t>
      </w:r>
    </w:p>
    <w:p w14:paraId="50000904" w14:textId="77777777" w:rsidR="003D5A98" w:rsidRPr="003D5A98" w:rsidRDefault="003D5A98" w:rsidP="003D5A98">
      <w:pPr>
        <w:tabs>
          <w:tab w:val="left" w:pos="3402"/>
        </w:tabs>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Банкроттық - бұл жеке кәсіпкерлер мен заңды тұлғалар өз қызметі барысында кездесетін кең таралған мәселе. Біздің елімізде жыл сайын көптеген ұйымдар банкротқа ұшырайды; сондықтан қолайсыз тенденцияларды дер кезінде анықтау аса маңызды.</w:t>
      </w:r>
    </w:p>
    <w:p w14:paraId="2C66C961" w14:textId="77777777" w:rsidR="003D5A98" w:rsidRPr="003D5A98" w:rsidRDefault="003D5A98" w:rsidP="003D5A98">
      <w:pPr>
        <w:tabs>
          <w:tab w:val="left" w:pos="3402"/>
        </w:tabs>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 xml:space="preserve">        Банкроттық – қолма-қол ақшаның жоқтығынан ұйымның өзінің қарыздық міндеттемелерін төлеуге және ағымдағы негізгі қызметін қаржыландыруға қабілетсіздігі. Банкроттықтың негізгі белгісі – қарызды төлеудің 3 айдан астам кешігуі.</w:t>
      </w:r>
    </w:p>
    <w:p w14:paraId="7E48496E" w14:textId="77777777" w:rsidR="003D5A98" w:rsidRPr="003D5A98" w:rsidRDefault="003D5A98" w:rsidP="003D5A98">
      <w:pPr>
        <w:tabs>
          <w:tab w:val="left" w:pos="3402"/>
        </w:tabs>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Банкроттықтың ықтималдығы зерттелетін ұйымның ағымдағы қаржылық жағдайының болжамды сипаттамаларының бірі болып табылады. Кәсіпорын басшылығы банкроттық ықтималдылығын мезгіл-мезгіл талдап, қажетті шараларды дер кезінде қабылдаса, ықтималдықты үнемі төмен деңгейде ұстай алады.</w:t>
      </w:r>
    </w:p>
    <w:p w14:paraId="3635EDD5" w14:textId="77777777" w:rsidR="003D5A98" w:rsidRPr="003D5A98" w:rsidRDefault="003D5A98" w:rsidP="003D5A98">
      <w:pPr>
        <w:tabs>
          <w:tab w:val="left" w:pos="3402"/>
        </w:tabs>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 xml:space="preserve">        Қазіргі уақытта кәсіпорынның банкрот болу ықтималдығын бағалаудың әртүрлі әдістері бар. Нарықтық экономикада ең дәл болып банкроттықты болжаудың көп факторлы модельдері табылады, олар әдетте бес-жеті қаржылық көрсеткіштерден тұрады.</w:t>
      </w:r>
    </w:p>
    <w:p w14:paraId="4DF1DB5F" w14:textId="77777777" w:rsidR="003D5A98" w:rsidRPr="003D5A98" w:rsidRDefault="003D5A98" w:rsidP="003D5A98">
      <w:pPr>
        <w:tabs>
          <w:tab w:val="left" w:pos="3402"/>
        </w:tabs>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lastRenderedPageBreak/>
        <w:t xml:space="preserve">        Іс жүзінде банкроттық ықтималдығын бағалау үшін Альтманның «Z-есеп» деп аталатын көрсеткіш жиі қолданылады. Қорытынды банкроттық ықтималдылық коэффициенті Z кәсіпорынның экономикалық әлеуетін және оның өткен кезеңдегі жұмыс нәтижелерін сипаттайтын бес көрсеткіштің функциясы болып табылады: активтер мен пассивтердің құрылымы, табыстылық және айналым. Көрсеткіштердің әрқайсысына статистикалық әдістермен белгіленген белгілі бір салмақ берілді.</w:t>
      </w:r>
    </w:p>
    <w:p w14:paraId="5279A0EE"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p>
    <w:p w14:paraId="1F1FA700"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Z = 1,2 * K1 + 1,4 * K2 + 3,3 * K3 + 0,6 * K4 + K5, где</w:t>
      </w:r>
    </w:p>
    <w:p w14:paraId="1C566AFE"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p>
    <w:p w14:paraId="3A534A65"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K1 —. ұйымның жалпы активтеріндегі айналым құралдарының үлесі. Көрсеткіш ұйымның өтімділік дәрежесін сипаттайды.</w:t>
      </w:r>
    </w:p>
    <w:p w14:paraId="2859E068"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K2 — рентабельность активов по нераспределенной прибыли. Показатель характеризует уровень финансового рычага организации. бөлінбеген пайда негізіндегі активтердің рентабельділігі. Көрсеткіш ұйымның қаржылық тетігі деңгейін сипаттайды.</w:t>
      </w:r>
    </w:p>
    <w:p w14:paraId="1B02B5D9"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K3 — салықтарды төлегенге дейінгі пайдаға негізделген активтерді қайтару. Көрсеткіш ұйымның операциялық қызметінің тиімділігін сипаттайды.</w:t>
      </w:r>
    </w:p>
    <w:p w14:paraId="520704EC"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K4 — меншікті және қарыз капиталының қатынасы.</w:t>
      </w:r>
    </w:p>
    <w:p w14:paraId="7254A953"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K5 — активтер айналымы. Көрсеткіш кәсіпорын активтерінің табыстылығын сипаттайды.</w:t>
      </w:r>
    </w:p>
    <w:p w14:paraId="34F0BBF4"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«Z-есеп» мәніне байланысты белгілі бір шкала бойынша банкроттық ықтималдығы екі жыл ішінде бағаланады. Ұйымды талдау кезінде банкроттық ықтималдығының ауқымына емес, осы көрсеткіштің динамикасына назар аудару керек.</w:t>
      </w:r>
    </w:p>
    <w:p w14:paraId="12676193"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 xml:space="preserve">Altman Z-балы банкроттық тәуекелін ғана емес, сонымен қатар несиелік қабілеттілік деңгейін де анықтауға мүмкіндік береді, сондықтан оны банктер қарыз алушының несиелік қабілетін, </w:t>
      </w:r>
      <w:r w:rsidRPr="003D5A98">
        <w:rPr>
          <w:rFonts w:ascii="Times New Roman" w:hAnsi="Times New Roman" w:cs="Times New Roman"/>
          <w:sz w:val="32"/>
          <w:szCs w:val="32"/>
          <w:lang w:val="kk-KZ"/>
        </w:rPr>
        <w:lastRenderedPageBreak/>
        <w:t>қаржылық тұрақтылығын және банкроттықтың ықтималдығын бағалау үшін пайдаланады.</w:t>
      </w:r>
    </w:p>
    <w:p w14:paraId="23170764" w14:textId="77777777" w:rsidR="003D5A98" w:rsidRPr="003D5A98" w:rsidRDefault="003D5A98" w:rsidP="003D5A98">
      <w:pPr>
        <w:spacing w:after="0" w:line="240"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21 ғасыр жағдайында ұйымдар санының артуы және соның нәтижесінде</w:t>
      </w:r>
    </w:p>
    <w:p w14:paraId="458349A4" w14:textId="77777777" w:rsidR="003D5A98" w:rsidRPr="003D5A98" w:rsidRDefault="003D5A98" w:rsidP="003D5A98">
      <w:pPr>
        <w:spacing w:after="0" w:line="240"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барлық дерлік сегменттердегі бәсекелестік. Бұл компаниялардың нарықтық конъюнктураның өзгеруіне сезімтал болуына әкеледі, ал тауарлар мен қызметтер нарығында бәсекеге қабілетті болып қалу үшін компаниялар тиімділікті арттыру қажет. Кез келген ұйым қаржылық жағдайдың тұрақсыздығы, төлем қабілетсіздігі, банкроттық проблемасына тап болуы мүмкін. Бұл мақаланың мақсаты – шағын және орта бизнестің банкроттығын болжау тәсілдерін зерттеу.</w:t>
      </w:r>
    </w:p>
    <w:p w14:paraId="58ACE8E6"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Нәтижелер қаржылық есеп беру сапасының төмендігі және модельдерді құру үшін пайдаланылатын деректердің болмауы проблемасы болып табылатын компаниялардың төлем қабілетсіздігін болжау әдістерінің тиімсіздігін көрсетті.</w:t>
      </w:r>
    </w:p>
    <w:p w14:paraId="7C6FB4F7" w14:textId="77777777" w:rsidR="003D5A98" w:rsidRPr="003D5A98" w:rsidRDefault="003D5A98" w:rsidP="003D5A98">
      <w:pPr>
        <w:spacing w:after="0" w:line="240"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Қазақстандағы экономикалық қатынастар өте жоғары дәрежеде сипатталады</w:t>
      </w:r>
    </w:p>
    <w:p w14:paraId="647E59C5" w14:textId="77777777" w:rsidR="003D5A98" w:rsidRPr="003D5A98" w:rsidRDefault="003D5A98" w:rsidP="003D5A98">
      <w:pPr>
        <w:spacing w:after="0" w:line="240"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сыртқы және ішкі экономикалық факторлардың әсерінен кәсіпорындардың төлем қабілетсіздігінің тәуекелін айтарлықтай арттыратын құбылмалылық. Динамикалық және бәсекелес нарық жағдайында әрбір бизнес жоғары немесе төмендеген тәуекелге тап болады.</w:t>
      </w:r>
    </w:p>
    <w:p w14:paraId="5E46C616"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Ешбір компания оның қызметі мәңгілікке жалғасатынына, оның қызметтері әрқашан сұранысқа ие болатынына және сұраныстың ауытқуына байланысты қызмет ауқымын өзгертуге, қызметкерлерді жұмыстан шығаруға, қосымша шығындарға және т.б. қажет болмайтынына кепілдік бермейді. Жиі , бизнес басшылары жоғары пайда алу үшін тәуекелді әрекеттерге барады.</w:t>
      </w:r>
    </w:p>
    <w:p w14:paraId="5C2A2CEE"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t>Өздеріңіз білетіндей, кәсіпорынның қаржылық жағдайы – бұл кәсіпорынның қаржылық ресурстарының болуын, орналасуын, пайдаланылуын көрсететін және бірге экономиканың тұрақтылығын, жағдайын анықтайтын жалпыланған абсолютті және салыстырмалы статистикалық көрсеткіштер жүйесімен сипатталатын күрделі категория. компанияның және оның іскерлік серіктес ретіндегі өкілеттігі.</w:t>
      </w:r>
    </w:p>
    <w:p w14:paraId="590A98BA" w14:textId="77777777" w:rsidR="003D5A98" w:rsidRPr="003D5A98" w:rsidRDefault="003D5A98" w:rsidP="003D5A98">
      <w:pPr>
        <w:spacing w:line="259" w:lineRule="auto"/>
        <w:ind w:firstLine="567"/>
        <w:jc w:val="both"/>
        <w:rPr>
          <w:rFonts w:ascii="Times New Roman" w:hAnsi="Times New Roman" w:cs="Times New Roman"/>
          <w:sz w:val="32"/>
          <w:szCs w:val="32"/>
          <w:lang w:val="kk-KZ"/>
        </w:rPr>
      </w:pPr>
      <w:r w:rsidRPr="003D5A98">
        <w:rPr>
          <w:rFonts w:ascii="Times New Roman" w:hAnsi="Times New Roman" w:cs="Times New Roman"/>
          <w:sz w:val="32"/>
          <w:szCs w:val="32"/>
          <w:lang w:val="kk-KZ"/>
        </w:rPr>
        <w:lastRenderedPageBreak/>
        <w:t>Қаржылық жағдайдың критерийлері негізінде тәуекел деңгейін болжау басқарушылық шешімдерді қабылдаудың ең қолайлы құралы болып табылады және көптеген қолданбаларға ие. Оны жоспарлау көкжиегін жеңілдету және кеңейту үшін көптеген баламалары бар жағдайды модельдеу кезінде қуатты аналитикалық ресурс ретінде пайдалануға болады, ең бастысы, кәсіпорын дағдарысының алдын алуға болады.</w:t>
      </w:r>
    </w:p>
    <w:p w14:paraId="4AD84A70" w14:textId="66AC91C9" w:rsidR="00942DEA" w:rsidRPr="001D2333" w:rsidRDefault="00942DEA">
      <w:pPr>
        <w:rPr>
          <w:lang w:val="kk-KZ"/>
        </w:rPr>
      </w:pPr>
    </w:p>
    <w:p w14:paraId="0561C9D4" w14:textId="13887C85" w:rsidR="00942DEA" w:rsidRPr="001D2333" w:rsidRDefault="00942DEA">
      <w:pPr>
        <w:rPr>
          <w:lang w:val="kk-KZ"/>
        </w:rPr>
      </w:pPr>
    </w:p>
    <w:p w14:paraId="30C6C658" w14:textId="77777777" w:rsidR="00942DEA" w:rsidRDefault="00942DEA" w:rsidP="00942DEA">
      <w:pPr>
        <w:rPr>
          <w:rFonts w:ascii="Times New Roman" w:hAnsi="Times New Roman" w:cs="Times New Roman"/>
          <w:sz w:val="24"/>
          <w:szCs w:val="24"/>
          <w:lang w:val="kk-KZ"/>
        </w:rPr>
      </w:pPr>
      <w:r>
        <w:rPr>
          <w:rFonts w:ascii="Times New Roman" w:hAnsi="Times New Roman" w:cs="Times New Roman"/>
          <w:sz w:val="24"/>
          <w:szCs w:val="24"/>
          <w:lang w:val="kk-KZ"/>
        </w:rPr>
        <w:t xml:space="preserve">                                                                        ӘДЕБИЕТТЕР</w:t>
      </w:r>
    </w:p>
    <w:p w14:paraId="54B3F269" w14:textId="77777777" w:rsidR="00942DEA" w:rsidRDefault="00942DEA" w:rsidP="00942DEA">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942DEA">
        <w:rPr>
          <w:rFonts w:ascii="Times New Roman" w:hAnsi="Times New Roman" w:cs="Times New Roman"/>
          <w:sz w:val="24"/>
          <w:szCs w:val="24"/>
          <w:lang w:val="kk-KZ"/>
        </w:rPr>
        <w:tab/>
      </w:r>
      <w:bookmarkStart w:id="1"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16679B2F" w14:textId="77777777" w:rsidR="00942DEA" w:rsidRDefault="00942DEA" w:rsidP="00942DEA">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1FB92947" w14:textId="77777777" w:rsidR="00942DEA" w:rsidRDefault="00942DEA" w:rsidP="00942DEA">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1D713C0C" w14:textId="77777777" w:rsidR="00942DEA" w:rsidRDefault="00942DEA" w:rsidP="00942DEA">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C195521" w14:textId="77777777" w:rsidR="00942DEA" w:rsidRDefault="00942DEA" w:rsidP="00942DEA">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12E39261" w14:textId="77777777" w:rsidR="00942DEA" w:rsidRDefault="00942DEA" w:rsidP="00942DEA">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3F736057" w14:textId="77777777" w:rsidR="00942DEA" w:rsidRDefault="00942DEA" w:rsidP="00942DEA">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4843BFEC" w14:textId="77777777" w:rsidR="00942DEA" w:rsidRDefault="00942DEA" w:rsidP="00942DEA">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6A26A429" w14:textId="77777777" w:rsidR="00942DEA" w:rsidRDefault="00942DEA" w:rsidP="00942DEA">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6774BA85" w14:textId="77777777" w:rsidR="00942DEA" w:rsidRDefault="00942DEA" w:rsidP="00942DEA">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0424634D" w14:textId="77777777" w:rsidR="00942DEA" w:rsidRDefault="00942DEA" w:rsidP="00942DEA">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0302326E" w14:textId="77777777" w:rsidR="00942DEA" w:rsidRDefault="00942DEA" w:rsidP="00942DEA">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065554F2" w14:textId="77777777" w:rsidR="00942DEA" w:rsidRDefault="00942DEA" w:rsidP="00942DEA">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12A87720" w14:textId="77777777" w:rsidR="00942DEA" w:rsidRDefault="00942DEA" w:rsidP="00942DEA">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63EEBB5D" w14:textId="77777777" w:rsidR="00942DEA" w:rsidRDefault="00942DEA" w:rsidP="00942DE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5896CAF1" w14:textId="77777777" w:rsidR="00942DEA" w:rsidRDefault="00942DEA" w:rsidP="00942DE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2BF47424" w14:textId="77777777" w:rsidR="00942DEA" w:rsidRDefault="00942DEA" w:rsidP="00942DE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5C1854D4" w14:textId="77777777" w:rsidR="00942DEA" w:rsidRDefault="00942DEA" w:rsidP="00942DEA">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2C7B3B5C" w14:textId="77777777" w:rsidR="00942DEA" w:rsidRDefault="00942DEA" w:rsidP="00942DE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0EA0F2F2" w14:textId="77777777" w:rsidR="00942DEA" w:rsidRDefault="00942DEA" w:rsidP="00942DE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4F94DC12" w14:textId="77777777" w:rsidR="00942DEA" w:rsidRDefault="00942DEA" w:rsidP="00942DEA">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lastRenderedPageBreak/>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1CCB742F" w14:textId="77777777" w:rsidR="00942DEA" w:rsidRDefault="00942DEA" w:rsidP="00942DE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4434FA27" w14:textId="77777777" w:rsidR="00942DEA" w:rsidRDefault="00942DEA" w:rsidP="00942DEA">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3F6D8428" w14:textId="77777777" w:rsidR="00942DEA" w:rsidRDefault="00942DEA" w:rsidP="00942DE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6773D223" w14:textId="77777777" w:rsidR="00942DEA" w:rsidRDefault="00942DEA" w:rsidP="00942DEA">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61518039" w14:textId="77777777" w:rsidR="00942DEA" w:rsidRDefault="00942DEA" w:rsidP="00942DE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0EB1000C" w14:textId="77777777" w:rsidR="00942DEA" w:rsidRDefault="00942DEA" w:rsidP="00942DEA">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375B9112" w14:textId="77777777" w:rsidR="00942DEA" w:rsidRDefault="00942DEA" w:rsidP="00942DEA">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4ED928AB" w14:textId="77777777" w:rsidR="00942DEA" w:rsidRDefault="00942DEA" w:rsidP="00942DEA">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BFA0CBF" w14:textId="77777777" w:rsidR="00942DEA" w:rsidRPr="00942DEA" w:rsidRDefault="00942DEA" w:rsidP="00942DEA">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42C7F96B" w14:textId="77777777" w:rsidR="00942DEA" w:rsidRPr="00042E1E" w:rsidRDefault="00942DEA" w:rsidP="00942DEA">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0CB8456E" w14:textId="77777777" w:rsidR="00942DEA" w:rsidRDefault="00942DEA" w:rsidP="00942DEA">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144C5259" w14:textId="77777777" w:rsidR="00942DEA" w:rsidRDefault="00942DEA" w:rsidP="00942DEA">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4EFFDB73" w14:textId="77777777" w:rsidR="00942DEA" w:rsidRPr="00942DEA" w:rsidRDefault="00942DEA" w:rsidP="00942DEA">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4892B0AE" w14:textId="77777777" w:rsidR="00942DEA" w:rsidRDefault="00942DEA" w:rsidP="00942DEA">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E90DE40" w14:textId="77777777" w:rsidR="00942DEA" w:rsidRDefault="00942DEA" w:rsidP="00942DEA">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6AB0B53" w14:textId="77777777" w:rsidR="00942DEA" w:rsidRDefault="00942DEA" w:rsidP="00942DEA">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7ADE5354" w14:textId="77777777" w:rsidR="00942DEA" w:rsidRDefault="00942DEA" w:rsidP="00942DEA">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3E2FB819" w14:textId="77777777" w:rsidR="00942DEA" w:rsidRPr="00942DEA" w:rsidRDefault="00942DEA" w:rsidP="00942DEA">
      <w:pPr>
        <w:spacing w:after="0" w:line="240" w:lineRule="auto"/>
        <w:rPr>
          <w:rFonts w:ascii="Times New Roman" w:eastAsia="Times New Roman" w:hAnsi="Times New Roman" w:cs="Times New Roman"/>
          <w:color w:val="000000" w:themeColor="text1"/>
          <w:kern w:val="36"/>
          <w:lang w:val="kk-KZ"/>
        </w:rPr>
      </w:pPr>
    </w:p>
    <w:p w14:paraId="47B67737" w14:textId="77777777" w:rsidR="00942DEA" w:rsidRDefault="00942DEA" w:rsidP="00942DEA">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3E08548B" w14:textId="77777777" w:rsidR="00942DEA" w:rsidRDefault="00942DEA" w:rsidP="00942DEA">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60A030FC" w14:textId="77777777" w:rsidR="00942DEA" w:rsidRDefault="00942DEA" w:rsidP="00942DEA">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7C84213D" w14:textId="77777777" w:rsidR="00942DEA" w:rsidRDefault="00942DEA" w:rsidP="00942DEA">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1"/>
    </w:p>
    <w:p w14:paraId="761DBE20" w14:textId="77777777" w:rsidR="00942DEA" w:rsidRPr="00942DEA" w:rsidRDefault="00942DEA">
      <w:pPr>
        <w:rPr>
          <w:lang w:val="kk-KZ"/>
        </w:rPr>
      </w:pPr>
    </w:p>
    <w:sectPr w:rsidR="00942DEA" w:rsidRPr="00942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1281187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93286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63"/>
    <w:rsid w:val="00042E1E"/>
    <w:rsid w:val="001D2333"/>
    <w:rsid w:val="00380FDB"/>
    <w:rsid w:val="003D5A98"/>
    <w:rsid w:val="00431563"/>
    <w:rsid w:val="00942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74F3"/>
  <w15:chartTrackingRefBased/>
  <w15:docId w15:val="{05B2828D-13B6-4A95-AE3F-1A06EACD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DEA"/>
    <w:pPr>
      <w:spacing w:line="256" w:lineRule="auto"/>
    </w:pPr>
    <w:rPr>
      <w:sz w:val="21"/>
      <w:szCs w:val="21"/>
    </w:rPr>
  </w:style>
  <w:style w:type="paragraph" w:styleId="2">
    <w:name w:val="heading 2"/>
    <w:basedOn w:val="a"/>
    <w:next w:val="a"/>
    <w:link w:val="20"/>
    <w:uiPriority w:val="9"/>
    <w:semiHidden/>
    <w:unhideWhenUsed/>
    <w:qFormat/>
    <w:rsid w:val="00942D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42DEA"/>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942DEA"/>
  </w:style>
  <w:style w:type="paragraph" w:styleId="a4">
    <w:name w:val="List Paragraph"/>
    <w:aliases w:val="без абзаца,маркированный,ПАРАГРАФ,List Paragraph"/>
    <w:basedOn w:val="a"/>
    <w:link w:val="a3"/>
    <w:uiPriority w:val="34"/>
    <w:qFormat/>
    <w:rsid w:val="00942DEA"/>
    <w:pPr>
      <w:spacing w:line="254" w:lineRule="auto"/>
      <w:ind w:left="720"/>
      <w:contextualSpacing/>
    </w:pPr>
    <w:rPr>
      <w:sz w:val="22"/>
      <w:szCs w:val="22"/>
    </w:rPr>
  </w:style>
  <w:style w:type="character" w:customStyle="1" w:styleId="s1">
    <w:name w:val="s1"/>
    <w:basedOn w:val="a0"/>
    <w:rsid w:val="00942DEA"/>
  </w:style>
  <w:style w:type="character" w:styleId="a5">
    <w:name w:val="Strong"/>
    <w:basedOn w:val="a0"/>
    <w:uiPriority w:val="22"/>
    <w:qFormat/>
    <w:rsid w:val="00942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70069">
      <w:bodyDiv w:val="1"/>
      <w:marLeft w:val="0"/>
      <w:marRight w:val="0"/>
      <w:marTop w:val="0"/>
      <w:marBottom w:val="0"/>
      <w:divBdr>
        <w:top w:val="none" w:sz="0" w:space="0" w:color="auto"/>
        <w:left w:val="none" w:sz="0" w:space="0" w:color="auto"/>
        <w:bottom w:val="none" w:sz="0" w:space="0" w:color="auto"/>
        <w:right w:val="none" w:sz="0" w:space="0" w:color="auto"/>
      </w:divBdr>
    </w:div>
    <w:div w:id="17012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2022-12-17T02:47:00Z</dcterms:created>
  <dcterms:modified xsi:type="dcterms:W3CDTF">2023-01-05T12:32:00Z</dcterms:modified>
</cp:coreProperties>
</file>